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VANTGRAND N3X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En tout point le piano à queue YAMAHA N3X a été conçu pour atteindre la perfectio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6 878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