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SCHERER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d'étude</w:t>
        <w:br/>
      </w:r>
      <w:r>
        <w:rPr>
          <w:rStyle w:val="Markedcontent"/>
          <w:rFonts w:cs="Arial" w:ascii="Arial" w:hAnsi="Arial"/>
          <w:sz w:val="60"/>
          <w:szCs w:val="60"/>
        </w:rPr>
        <w:t>noyer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d'etude SCHERER 108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