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80"/>
          <w:szCs w:val="80"/>
        </w:rPr>
        <w:t>TH. BETTING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d'étude TH BETTING 105 Blanc</w:t>
        <w:br/>
      </w:r>
      <w:r>
        <w:rPr>
          <w:rStyle w:val="Markedcontent"/>
          <w:rFonts w:cs="Arial" w:ascii="Arial" w:hAnsi="Arial"/>
          <w:sz w:val="60"/>
          <w:szCs w:val="60"/>
        </w:rPr>
        <w:t>blanc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d'étude TH BETTING 105 Blanc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