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SEILER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118</w:t>
        <w:br/>
      </w:r>
      <w:r>
        <w:rPr>
          <w:rStyle w:val="Markedcontent"/>
          <w:rFonts w:cs="Arial" w:ascii="Arial" w:hAnsi="Arial"/>
          <w:sz w:val="60"/>
          <w:szCs w:val="60"/>
        </w:rPr>
        <w:t>acajou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d'interprétation Ed-Seiler en excellent état.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