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60"/><w:szCs w:val="60"/></w:rPr><w:t>KOHLER & CAMPDELL</w:t></w:r><w:r><w:rPr><w:b/><w:bCs/></w:rPr><w:br/></w:r><w:r><w:rPr><w:rStyle w:val="Markedcontent"/><w:rFonts w:cs="Arial" w:ascii="Arial" w:hAnsi="Arial"/><w:sz w:val="68"/><w:szCs w:val="68"/></w:rPr><w:t>Piano à queue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Piano 1/4 queue KOHLER & CAMPDELL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