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 standalone="yes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<w:body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rPr><w:rStyle w:val="Markedcontent"/><w:rFonts w:ascii="Arial" w:hAnsi="Arial" w:cs="Arial"/><w:sz w:val="120"/><w:szCs w:val="120"/></w:rPr></w:pPr><w:r><w:rPr><w:rFonts w:cs="Arial" w:ascii="Arial" w:hAnsi="Arial"/><w:sz w:val="120"/><w:szCs w:val="120"/></w:rPr></w:r></w:p><w:p><w:pPr><w:pStyle w:val="Normal"/><w:spacing w:before="0" w:after="160"/><w:jc w:val="center"/><w:rPr></w:rPr></w:pPr><w:r><w:rPr><w:rStyle w:val="Markedcontent"/><w:rFonts w:cs="Arial" w:ascii="Arial" w:hAnsi="Arial"/><w:b/><w:bCs/><w:sz w:val="120"/><w:szCs w:val="120"/></w:rPr><w:t>STEINWAY</w:t></w:r><w:r><w:rPr><w:b/><w:bCs/></w:rPr><w:br/></w:r><w:r><w:rPr><w:rStyle w:val="Markedcontent"/><w:rFonts w:cs="Arial" w:ascii="Arial" w:hAnsi="Arial"/><w:sz w:val="68"/><w:szCs w:val="68"/></w:rPr><w:t>Vente : Piano à queue Seinway & Sons O d'occasion. Revisé et garanti</w:t><w:br/></w:r><w:r><w:rPr><w:rStyle w:val="Markedcontent"/><w:rFonts w:cs="Arial" w:ascii="Arial" w:hAnsi="Arial"/><w:sz w:val="60"/><w:szCs w:val="60"/></w:rPr><w:t>noir brillant</w:t></w:r><w:r><w:rPr><w:sz w:val="16"/><w:szCs w:val="16"/></w:rPr><w:br/></w:r><w:r><w:rPr><w:rStyle w:val="Markedcontent"/><w:rFonts w:cs="Arial" w:ascii="Arial" w:hAnsi="Arial"/></w:rPr><w:br/></w:r><w:r><w:rPr><w:rStyle w:val="Markedcontent"/><w:rFonts w:cs="Arial" w:ascii="Arial" w:hAnsi="Arial"/><w:sz w:val="24"/><w:szCs w:val="24"/></w:rPr><w:t>Steinway & Sons Modèle O (180 cm) – Piano à Queue d'Occasion. Opportunité rare : Le prestigieux grand piano de salon alliant puissance acoustique et élégance</w:t></w:r><w:r><w:rPr><w:rStyle w:val="Markedcontent"/><w:rFonts w:cs="Arial" w:ascii="Arial" w:hAnsi="Arial"/><w:sz w:val="28"/><w:szCs w:val="28"/></w:rPr><w:br/></w:r><w:r><w:rPr><w:sz w:val="20"/><w:szCs w:val="20"/></w:rPr><w:br/></w:r><w:r><w:rPr><w:rStyle w:val="Markedcontent"/><w:rFonts w:cs="Arial" w:ascii="Arial" w:hAnsi="Arial"/><w:b/><w:sz w:val="48"/><w:szCs w:val="48"/></w:rPr><w:t>Prix modèle exposé 0 €</w:t></w:r><w:r><w:rPr><w:rStyle w:val="Markedcontent"/><w:rFonts w:cs="Arial" w:ascii="Arial" w:hAnsi="Arial"/><w:sz w:val="32"/><w:szCs w:val="32"/></w:rPr><w:br/><w:t>Hors frais de livraison</w:t></w:r></w:p><w:sectPr><w:type w:val="nextPage"/><w:pgSz w:w="8391" w:h="11906"/><w:pgMar w:left="720" w:right="720" w:header="0" w:top="720" w:footer="0" w:bottom="720" w:gutter="0"/><w:pgNumType w:fmt="decimal"/><w:formProt w:val="false"/><w:textDirection w:val="lrTb"/><w:docGrid w:type="default" w:linePitch="360" w:charSpace="4096"/></w:sectPr></w:body>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