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K200 noir brillant neuf d'exposition</w:t>
        <w:br/>
      </w:r>
      <w:r>
        <w:rPr>
          <w:rStyle w:val="Markedcontent"/>
          <w:rFonts w:cs="Arial" w:ascii="Arial" w:hAnsi="Arial"/>
          <w:sz w:val="60"/>
          <w:szCs w:val="60"/>
        </w:rPr>
        <w:t>noir-Chrome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K200 neuf d'exposition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