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ROSLER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103 NOYER BRILLANT 131616</w:t>
        <w:br/>
      </w:r>
      <w:r>
        <w:rPr>
          <w:rStyle w:val="Markedcontent"/>
          <w:rFonts w:cs="Arial" w:ascii="Arial" w:hAnsi="Arial"/>
          <w:sz w:val="60"/>
          <w:szCs w:val="60"/>
        </w:rPr>
        <w:t>noyer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ROSLER 103 NOYER BRILLANT 131616 fabrication PETROF Tchéquie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