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ROSLER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103 NOYER BRILLANT 131616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ROSLER 103 NOYER BRILLANT 131616 fabrication PETROF Tchéquie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