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FURSTEIN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droit TP 112</w:t>
        <w:br/>
      </w:r>
      <w:r>
        <w:rPr>
          <w:rStyle w:val="Markedcontent"/>
          <w:rFonts w:cs="Arial" w:ascii="Arial" w:hAnsi="Arial"/>
          <w:sz w:val="60"/>
          <w:szCs w:val="60"/>
        </w:rPr>
        <w:t>noyer brillant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droit Furstein TP112 : entre tradition et caractère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